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FE" w:rsidRPr="0059143F" w:rsidRDefault="00B0080A">
      <w:pPr>
        <w:jc w:val="center"/>
        <w:rPr>
          <w:rFonts w:asciiTheme="minorEastAsia" w:hAnsiTheme="minorEastAsia" w:cs="楷体"/>
          <w:b/>
          <w:bCs/>
          <w:color w:val="000000"/>
          <w:sz w:val="44"/>
          <w:szCs w:val="44"/>
        </w:rPr>
      </w:pPr>
      <w:r w:rsidRPr="0059143F">
        <w:rPr>
          <w:rFonts w:asciiTheme="minorEastAsia" w:hAnsiTheme="minorEastAsia" w:cs="楷体" w:hint="eastAsia"/>
          <w:b/>
          <w:bCs/>
          <w:color w:val="000000"/>
          <w:sz w:val="44"/>
          <w:szCs w:val="44"/>
        </w:rPr>
        <w:t>北京电信技术发展产业协会</w:t>
      </w:r>
    </w:p>
    <w:p w:rsidR="001226FE" w:rsidRPr="0059143F" w:rsidRDefault="00B0080A">
      <w:pPr>
        <w:jc w:val="center"/>
        <w:rPr>
          <w:rFonts w:asciiTheme="minorEastAsia" w:hAnsiTheme="minorEastAsia" w:cs="楷体"/>
          <w:b/>
          <w:bCs/>
          <w:color w:val="000000"/>
          <w:sz w:val="44"/>
          <w:szCs w:val="44"/>
        </w:rPr>
      </w:pPr>
      <w:r w:rsidRPr="0059143F">
        <w:rPr>
          <w:rFonts w:asciiTheme="minorEastAsia" w:hAnsiTheme="minorEastAsia" w:cs="楷体" w:hint="eastAsia"/>
          <w:b/>
          <w:bCs/>
          <w:color w:val="000000"/>
          <w:sz w:val="44"/>
          <w:szCs w:val="44"/>
        </w:rPr>
        <w:t>会计电算化制度</w:t>
      </w:r>
    </w:p>
    <w:p w:rsidR="001226FE" w:rsidRDefault="001226FE">
      <w:pPr>
        <w:jc w:val="center"/>
        <w:rPr>
          <w:rFonts w:ascii="楷体" w:eastAsia="楷体" w:hAnsi="楷体" w:cs="楷体"/>
          <w:b/>
          <w:bCs/>
          <w:color w:val="000000"/>
          <w:sz w:val="44"/>
          <w:szCs w:val="44"/>
        </w:rPr>
      </w:pP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第一章 总则</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第一条 为推动本协会会计电算化发展，规范会计电算化工作，按照财政局的有关要求，特制定本制度。</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第二条 本办法适用范围：本协会。</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第三条 会计电算化管理内容包括岗位设置、建立信息系统、制定管理制度、人员培训等。</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第二章 岗位设置及职责</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第四条 协会根据本单位具体情况，设专职财务人员负责电算化工作，定岗定员，保持相对稳定。</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第五条 电算专管员必须精通财会业务，并且负责以下工作：一、制定本单位会计电算化管理办法；二、监督会计电算化有关管理制度的执行情况；三、对财会软件进行日常维护；四、保证计算机软件和硬件的财产安全；五、控制会计软件的运行；六、对操作人员进行日常管理；七、负责财会软件的学习、应用；八、负责组织操作人员的培训工作。</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第六条 财务主管必须对操作人员的上机、密码和使用权限进行严格管理，与财务工作无关人员，没有经过上机培训人员不得作为操作人员。</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lastRenderedPageBreak/>
        <w:t>第七条 操作人员应严格按照操作规范使用计算机和财会软件，发现问题及时上报，不得自行修改。</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第八条 操作人员的密码应当严格保密；更换操作人员或密码泄密后，必须及时更改密码。</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第九条操作人员如果离开工作现场，必须在离开前退出财会程序，防止其他人员越权操作。</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第三章 电算记账的规则</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第十条 严格按照财务制度、会计制度和软件程序，以及协会的有关统一规定，进行业务处理。</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第十一条 财务部对财会软件的使用实行统一管理，未经财务主管、协会秘书长同意，操作人员不得随意使用其他财会软件。</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第十二条 财务主管负责设置一、二级会计科目，操作员可根据具体情况增设。</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第十三条 为确保电算记账准确、高效，记账过程中实行三审制，即事前审核、事中审核、事后审核。</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第十四条 </w:t>
      </w:r>
      <w:r w:rsidR="004E7B3F" w:rsidRPr="0059143F">
        <w:rPr>
          <w:rFonts w:asciiTheme="minorEastAsia" w:hAnsiTheme="minorEastAsia" w:cs="楷体" w:hint="eastAsia"/>
          <w:color w:val="000000"/>
          <w:sz w:val="28"/>
          <w:szCs w:val="28"/>
        </w:rPr>
        <w:t>原始凭证原则上由手工填制，如果据以填制原始</w:t>
      </w:r>
      <w:r w:rsidRPr="0059143F">
        <w:rPr>
          <w:rFonts w:asciiTheme="minorEastAsia" w:hAnsiTheme="minorEastAsia" w:cs="楷体" w:hint="eastAsia"/>
          <w:color w:val="000000"/>
          <w:sz w:val="28"/>
          <w:szCs w:val="28"/>
        </w:rPr>
        <w:t>凭证的原始凭证已输入计算机或可从机内现有账簿中计算生成记账凭证所需数据，记账凭证方可由计算机打印输出，代替手工记账凭证；这时须由操作员、审核员共同签章，并按规定装订成册，</w:t>
      </w:r>
      <w:proofErr w:type="gramStart"/>
      <w:r w:rsidRPr="0059143F">
        <w:rPr>
          <w:rFonts w:asciiTheme="minorEastAsia" w:hAnsiTheme="minorEastAsia" w:cs="楷体" w:hint="eastAsia"/>
          <w:color w:val="000000"/>
          <w:sz w:val="28"/>
          <w:szCs w:val="28"/>
        </w:rPr>
        <w:t>做为</w:t>
      </w:r>
      <w:proofErr w:type="gramEnd"/>
      <w:r w:rsidRPr="0059143F">
        <w:rPr>
          <w:rFonts w:asciiTheme="minorEastAsia" w:hAnsiTheme="minorEastAsia" w:cs="楷体" w:hint="eastAsia"/>
          <w:color w:val="000000"/>
          <w:sz w:val="28"/>
          <w:szCs w:val="28"/>
        </w:rPr>
        <w:t>会计档案保存。</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第十五条 出纳人员不得兼任凭证录入工作。</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lastRenderedPageBreak/>
        <w:t>第十六条 已输入总账、明细账的数据，如有差错，均须另编补充凭证或负数冲正凭证，重新输入；如原始凭证是正确的，操作员输入错误应在输入的更正凭证中注明实际输入数据的更正内容，包括原始的日期、编号及错误原因。</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第十七条 存在计算机软盘或硬盘内的各种账册，在未打印成文本输出之前，应视同会计档案妥善保存，并应留有副本。</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第四章 电算化会计档案管理制度</w:t>
      </w:r>
    </w:p>
    <w:p w:rsidR="001226FE" w:rsidRPr="0059143F" w:rsidRDefault="00B0080A">
      <w:pPr>
        <w:ind w:firstLineChars="200" w:firstLine="560"/>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第十八条　电算化会计档案管理是协会重要的会计基础工作，要严格按照财政部《</w:t>
      </w:r>
      <w:r w:rsidR="004E7B3F" w:rsidRPr="0059143F">
        <w:rPr>
          <w:rFonts w:asciiTheme="minorEastAsia" w:hAnsiTheme="minorEastAsia" w:cs="楷体" w:hint="eastAsia"/>
          <w:color w:val="000000"/>
          <w:sz w:val="28"/>
          <w:szCs w:val="28"/>
        </w:rPr>
        <w:t>会计档案管理办法</w:t>
      </w:r>
      <w:r w:rsidRPr="0059143F">
        <w:rPr>
          <w:rFonts w:asciiTheme="minorEastAsia" w:hAnsiTheme="minorEastAsia" w:cs="楷体" w:hint="eastAsia"/>
          <w:color w:val="000000"/>
          <w:sz w:val="28"/>
          <w:szCs w:val="28"/>
        </w:rPr>
        <w:t>》及相关要求，对电算化会计档案进行管理。</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第十九条　电算化会计档案管理的内容和范围：</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电算化会计档案包括存储在磁盘、光盘等介质上的会计数据和计算机打印的书面等形式的会计数据。</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会计数据是指记账凭证、会计账簿、会计报表（包括报表格式和计算公式）等数据，以及财务软件系统开发运行中编制的各种文档以及其他会计资料。</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财务软件设计书、软件程序、用户操作手册、本单位电算化系统构成说明和财务软件工作日志等，视同会计档案保管。</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第二十条　电算化会计档案的日常管理</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（一）本单位使用计算机打印的书面形式的会计凭证、会计账簿、会计报表，由本单位财务负责人负责保管。</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（二）会计电算化记账凭证制</w:t>
      </w:r>
      <w:proofErr w:type="gramStart"/>
      <w:r w:rsidRPr="0059143F">
        <w:rPr>
          <w:rFonts w:asciiTheme="minorEastAsia" w:hAnsiTheme="minorEastAsia" w:cs="楷体" w:hint="eastAsia"/>
          <w:color w:val="000000"/>
          <w:sz w:val="28"/>
          <w:szCs w:val="28"/>
        </w:rPr>
        <w:t>单完成</w:t>
      </w:r>
      <w:proofErr w:type="gramEnd"/>
      <w:r w:rsidRPr="0059143F">
        <w:rPr>
          <w:rFonts w:asciiTheme="minorEastAsia" w:hAnsiTheme="minorEastAsia" w:cs="楷体" w:hint="eastAsia"/>
          <w:color w:val="000000"/>
          <w:sz w:val="28"/>
          <w:szCs w:val="28"/>
        </w:rPr>
        <w:t>后应立即打印输出，打印的记账凭证上应有制</w:t>
      </w:r>
      <w:proofErr w:type="gramStart"/>
      <w:r w:rsidRPr="0059143F">
        <w:rPr>
          <w:rFonts w:asciiTheme="minorEastAsia" w:hAnsiTheme="minorEastAsia" w:cs="楷体" w:hint="eastAsia"/>
          <w:color w:val="000000"/>
          <w:sz w:val="28"/>
          <w:szCs w:val="28"/>
        </w:rPr>
        <w:t>单人员</w:t>
      </w:r>
      <w:proofErr w:type="gramEnd"/>
      <w:r w:rsidRPr="0059143F">
        <w:rPr>
          <w:rFonts w:asciiTheme="minorEastAsia" w:hAnsiTheme="minorEastAsia" w:cs="楷体" w:hint="eastAsia"/>
          <w:color w:val="000000"/>
          <w:sz w:val="28"/>
          <w:szCs w:val="28"/>
        </w:rPr>
        <w:t>的签名或盖章、审核人员签名或盖章、财务负责人签名或盖章。收付款记账凭证还应有出纳人员签名或盖章。</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（三）现金日记账和</w:t>
      </w:r>
      <w:r w:rsidR="004E7B3F" w:rsidRPr="0059143F">
        <w:rPr>
          <w:rFonts w:asciiTheme="minorEastAsia" w:hAnsiTheme="minorEastAsia" w:cs="楷体" w:hint="eastAsia"/>
          <w:color w:val="000000"/>
          <w:sz w:val="28"/>
          <w:szCs w:val="28"/>
        </w:rPr>
        <w:t>银行存款</w:t>
      </w:r>
      <w:r w:rsidRPr="0059143F">
        <w:rPr>
          <w:rFonts w:asciiTheme="minorEastAsia" w:hAnsiTheme="minorEastAsia" w:cs="楷体" w:hint="eastAsia"/>
          <w:color w:val="000000"/>
          <w:sz w:val="28"/>
          <w:szCs w:val="28"/>
        </w:rPr>
        <w:t>日记账可采用计算机打印的</w:t>
      </w:r>
      <w:r w:rsidR="004E7B3F" w:rsidRPr="0059143F">
        <w:rPr>
          <w:rFonts w:asciiTheme="minorEastAsia" w:hAnsiTheme="minorEastAsia" w:cs="楷体" w:hint="eastAsia"/>
          <w:color w:val="000000"/>
          <w:sz w:val="28"/>
          <w:szCs w:val="28"/>
        </w:rPr>
        <w:t>账页装订成册，应每天登记，做到日清月结，每月</w:t>
      </w:r>
      <w:r w:rsidRPr="0059143F">
        <w:rPr>
          <w:rFonts w:asciiTheme="minorEastAsia" w:hAnsiTheme="minorEastAsia" w:cs="楷体" w:hint="eastAsia"/>
          <w:color w:val="000000"/>
          <w:sz w:val="28"/>
          <w:szCs w:val="28"/>
        </w:rPr>
        <w:t>打印。一般账簿按年打印，遇税务、审计等管理部门检查时，应按其要求，及时打印有关账簿、报表等。</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（四）各类账簿在每一会计年度结束后一个月内必须完整打印，装订成册存档。发现已打印的纸质会计档案有缺损时，必须补充打印。</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所有记账凭证数据和明细分类数据都存储在计算机内的情况下，总分类账可用“总分类账本期发生额及余额对照表”替代。</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（五）每月结束后10日内、年度结束后30日内，财务人员应将打印的记账凭证分月、按凭证序号整齐装订成册，由财务负责人或财务主管、审核人员和装订人员签名或盖章，存档妥善保管。</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（六）每月结束后15日内、年度结束后45日内，财务人员应将打印的会计报表和有关会计资料整齐装订成册，并加盖单位公章由单位负责人、财务负责人或财务主管签名或盖章并加盖单位公章，存档妥善保管。</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（七）存储在磁盘、光盘等存储介质上的会计电子文档由电</w:t>
      </w:r>
      <w:proofErr w:type="gramStart"/>
      <w:r w:rsidRPr="0059143F">
        <w:rPr>
          <w:rFonts w:asciiTheme="minorEastAsia" w:hAnsiTheme="minorEastAsia" w:cs="楷体" w:hint="eastAsia"/>
          <w:color w:val="000000"/>
          <w:sz w:val="28"/>
          <w:szCs w:val="28"/>
        </w:rPr>
        <w:t>算维护</w:t>
      </w:r>
      <w:proofErr w:type="gramEnd"/>
      <w:r w:rsidRPr="0059143F">
        <w:rPr>
          <w:rFonts w:asciiTheme="minorEastAsia" w:hAnsiTheme="minorEastAsia" w:cs="楷体" w:hint="eastAsia"/>
          <w:color w:val="000000"/>
          <w:sz w:val="28"/>
          <w:szCs w:val="28"/>
        </w:rPr>
        <w:t>员保管。</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（八）电</w:t>
      </w:r>
      <w:proofErr w:type="gramStart"/>
      <w:r w:rsidRPr="0059143F">
        <w:rPr>
          <w:rFonts w:asciiTheme="minorEastAsia" w:hAnsiTheme="minorEastAsia" w:cs="楷体" w:hint="eastAsia"/>
          <w:color w:val="000000"/>
          <w:sz w:val="28"/>
          <w:szCs w:val="28"/>
        </w:rPr>
        <w:t>算维护</w:t>
      </w:r>
      <w:proofErr w:type="gramEnd"/>
      <w:r w:rsidRPr="0059143F">
        <w:rPr>
          <w:rFonts w:asciiTheme="minorEastAsia" w:hAnsiTheme="minorEastAsia" w:cs="楷体" w:hint="eastAsia"/>
          <w:color w:val="000000"/>
          <w:sz w:val="28"/>
          <w:szCs w:val="28"/>
        </w:rPr>
        <w:t>员每月至少将工作日志备份一次，经电</w:t>
      </w:r>
      <w:proofErr w:type="gramStart"/>
      <w:r w:rsidRPr="0059143F">
        <w:rPr>
          <w:rFonts w:asciiTheme="minorEastAsia" w:hAnsiTheme="minorEastAsia" w:cs="楷体" w:hint="eastAsia"/>
          <w:color w:val="000000"/>
          <w:sz w:val="28"/>
          <w:szCs w:val="28"/>
        </w:rPr>
        <w:t>算主管</w:t>
      </w:r>
      <w:proofErr w:type="gramEnd"/>
      <w:r w:rsidRPr="0059143F">
        <w:rPr>
          <w:rFonts w:asciiTheme="minorEastAsia" w:hAnsiTheme="minorEastAsia" w:cs="楷体" w:hint="eastAsia"/>
          <w:color w:val="000000"/>
          <w:sz w:val="28"/>
          <w:szCs w:val="28"/>
        </w:rPr>
        <w:t>审核确认，交会计档案管理员保存。未做备份的工作日志不得删除。</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（九）保存的会计档案应为本单位积极提供利用，档案必须进行科学管理，做到妥善保管、存放有序、查找方便。</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第二十一条　电算化会计档案的保管要求</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（一）电算化会计档案存放地点应达到防磁、防火、防潮、防尘、防盗、防虫蛀、防霉烂和</w:t>
      </w:r>
      <w:proofErr w:type="gramStart"/>
      <w:r w:rsidRPr="0059143F">
        <w:rPr>
          <w:rFonts w:asciiTheme="minorEastAsia" w:hAnsiTheme="minorEastAsia" w:cs="楷体" w:hint="eastAsia"/>
          <w:color w:val="000000"/>
          <w:sz w:val="28"/>
          <w:szCs w:val="28"/>
        </w:rPr>
        <w:t>防鼠咬等要求</w:t>
      </w:r>
      <w:proofErr w:type="gramEnd"/>
      <w:r w:rsidRPr="0059143F">
        <w:rPr>
          <w:rFonts w:asciiTheme="minorEastAsia" w:hAnsiTheme="minorEastAsia" w:cs="楷体" w:hint="eastAsia"/>
          <w:color w:val="000000"/>
          <w:sz w:val="28"/>
          <w:szCs w:val="28"/>
        </w:rPr>
        <w:t>，重要会计档案应准备双份，并尽可能存放在两个不同建筑物内。</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（二）对纸质会计档案和存贮介质保存的会计档案应分类保存。</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（三）会计电算化档案的保管时间</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计算机打印的会计凭证、会计账簿、会计报表的保管期限及电子会计档案的保管期限与手工</w:t>
      </w:r>
      <w:proofErr w:type="gramStart"/>
      <w:r w:rsidRPr="0059143F">
        <w:rPr>
          <w:rFonts w:asciiTheme="minorEastAsia" w:hAnsiTheme="minorEastAsia" w:cs="楷体" w:hint="eastAsia"/>
          <w:color w:val="000000"/>
          <w:sz w:val="28"/>
          <w:szCs w:val="28"/>
        </w:rPr>
        <w:t>账</w:t>
      </w:r>
      <w:proofErr w:type="gramEnd"/>
      <w:r w:rsidRPr="0059143F">
        <w:rPr>
          <w:rFonts w:asciiTheme="minorEastAsia" w:hAnsiTheme="minorEastAsia" w:cs="楷体" w:hint="eastAsia"/>
          <w:color w:val="000000"/>
          <w:sz w:val="28"/>
          <w:szCs w:val="28"/>
        </w:rPr>
        <w:t>保管期限一致；</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购买会计电算化专用的计算机、打印机的报价单、保修单、使用说明书、购机清单等资料作为会计电算化硬件档案保管，保管期限</w:t>
      </w:r>
      <w:proofErr w:type="gramStart"/>
      <w:r w:rsidRPr="0059143F">
        <w:rPr>
          <w:rFonts w:asciiTheme="minorEastAsia" w:hAnsiTheme="minorEastAsia" w:cs="楷体" w:hint="eastAsia"/>
          <w:color w:val="000000"/>
          <w:sz w:val="28"/>
          <w:szCs w:val="28"/>
        </w:rPr>
        <w:t>至相应</w:t>
      </w:r>
      <w:proofErr w:type="gramEnd"/>
      <w:r w:rsidRPr="0059143F">
        <w:rPr>
          <w:rFonts w:asciiTheme="minorEastAsia" w:hAnsiTheme="minorEastAsia" w:cs="楷体" w:hint="eastAsia"/>
          <w:color w:val="000000"/>
          <w:sz w:val="28"/>
          <w:szCs w:val="28"/>
        </w:rPr>
        <w:t>硬件被出售、报废等处置完毕；</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电算化系统软件的程序盘、使用说明、合同等全套软件档案应妥善永久保存。</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（四）日常备份存贮介质由电</w:t>
      </w:r>
      <w:proofErr w:type="gramStart"/>
      <w:r w:rsidRPr="0059143F">
        <w:rPr>
          <w:rFonts w:asciiTheme="minorEastAsia" w:hAnsiTheme="minorEastAsia" w:cs="楷体" w:hint="eastAsia"/>
          <w:color w:val="000000"/>
          <w:sz w:val="28"/>
          <w:szCs w:val="28"/>
        </w:rPr>
        <w:t>算维护</w:t>
      </w:r>
      <w:proofErr w:type="gramEnd"/>
      <w:r w:rsidRPr="0059143F">
        <w:rPr>
          <w:rFonts w:asciiTheme="minorEastAsia" w:hAnsiTheme="minorEastAsia" w:cs="楷体" w:hint="eastAsia"/>
          <w:color w:val="000000"/>
          <w:sz w:val="28"/>
          <w:szCs w:val="28"/>
        </w:rPr>
        <w:t>员妥善保管、统一编号，应装在保护封套或包装盒中，并置于保存柜中。年度以存贮介质保存的会计数据备份盘交由纸质档案管理员统一归档保存。</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第二十二条　电算化会计档案必须严格执行安全和保密制度，会计档案不得随意堆放，严防毁损、散失和泄密。</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各种会计资料（包括纸质和用存贮介质保存的会计数据），未经单位领导同意，不得外借和带出单位。经单位领导同意借阅会计资料，应该履行相应的借阅手续。存放在存贮介质上的会计资料借阅归还时，还应该认真检查其安全性和完整性，防止感染病毒和数据丢失。</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第二十三条　电算化会计档案保管期满后，按财政部《会计档案管理办法》的要求进行销毁。</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第五章 附则</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第二十四条　本制度由协会财务部负责解释。</w:t>
      </w:r>
    </w:p>
    <w:p w:rsidR="001226FE" w:rsidRPr="0059143F" w:rsidRDefault="00B0080A">
      <w:pPr>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 xml:space="preserve">　　第二十五条　本制度自发布之日起实施。</w:t>
      </w:r>
    </w:p>
    <w:p w:rsidR="001226FE" w:rsidRPr="0059143F" w:rsidRDefault="001226FE">
      <w:pPr>
        <w:rPr>
          <w:rFonts w:asciiTheme="minorEastAsia" w:hAnsiTheme="minorEastAsia" w:cs="楷体"/>
          <w:color w:val="000000"/>
          <w:sz w:val="28"/>
          <w:szCs w:val="28"/>
        </w:rPr>
      </w:pPr>
    </w:p>
    <w:p w:rsidR="001226FE" w:rsidRPr="0059143F" w:rsidRDefault="001226FE">
      <w:pPr>
        <w:rPr>
          <w:rFonts w:asciiTheme="minorEastAsia" w:hAnsiTheme="minorEastAsia" w:cs="楷体"/>
          <w:color w:val="000000"/>
          <w:sz w:val="28"/>
          <w:szCs w:val="28"/>
        </w:rPr>
      </w:pPr>
    </w:p>
    <w:p w:rsidR="001226FE" w:rsidRPr="0059143F" w:rsidRDefault="001226FE">
      <w:pPr>
        <w:rPr>
          <w:rFonts w:asciiTheme="minorEastAsia" w:hAnsiTheme="minorEastAsia" w:cs="楷体"/>
          <w:color w:val="000000"/>
          <w:sz w:val="28"/>
          <w:szCs w:val="28"/>
        </w:rPr>
      </w:pPr>
    </w:p>
    <w:p w:rsidR="001226FE" w:rsidRPr="0059143F" w:rsidRDefault="001226FE">
      <w:pPr>
        <w:rPr>
          <w:rFonts w:asciiTheme="minorEastAsia" w:hAnsiTheme="minorEastAsia" w:cs="楷体"/>
          <w:color w:val="000000"/>
          <w:sz w:val="28"/>
          <w:szCs w:val="28"/>
        </w:rPr>
      </w:pPr>
    </w:p>
    <w:p w:rsidR="001226FE" w:rsidRPr="0059143F" w:rsidRDefault="001226FE">
      <w:pPr>
        <w:rPr>
          <w:rFonts w:asciiTheme="minorEastAsia" w:hAnsiTheme="minorEastAsia" w:cs="楷体"/>
          <w:color w:val="000000"/>
          <w:sz w:val="28"/>
          <w:szCs w:val="28"/>
        </w:rPr>
      </w:pPr>
    </w:p>
    <w:p w:rsidR="001226FE" w:rsidRPr="0059143F" w:rsidRDefault="001226FE">
      <w:pPr>
        <w:rPr>
          <w:rFonts w:asciiTheme="minorEastAsia" w:hAnsiTheme="minorEastAsia" w:cs="楷体"/>
          <w:color w:val="000000"/>
          <w:sz w:val="28"/>
          <w:szCs w:val="28"/>
        </w:rPr>
      </w:pPr>
    </w:p>
    <w:p w:rsidR="001226FE" w:rsidRPr="0059143F" w:rsidRDefault="001226FE">
      <w:pPr>
        <w:rPr>
          <w:rFonts w:asciiTheme="minorEastAsia" w:hAnsiTheme="minorEastAsia" w:cs="楷体"/>
          <w:color w:val="000000"/>
          <w:sz w:val="28"/>
          <w:szCs w:val="28"/>
        </w:rPr>
      </w:pPr>
    </w:p>
    <w:p w:rsidR="001226FE" w:rsidRPr="0059143F" w:rsidRDefault="001226FE">
      <w:pPr>
        <w:rPr>
          <w:rFonts w:asciiTheme="minorEastAsia" w:hAnsiTheme="minorEastAsia" w:cs="楷体"/>
          <w:color w:val="000000"/>
          <w:sz w:val="28"/>
          <w:szCs w:val="28"/>
        </w:rPr>
      </w:pPr>
    </w:p>
    <w:p w:rsidR="001226FE" w:rsidRPr="0059143F" w:rsidRDefault="00B0080A">
      <w:pPr>
        <w:jc w:val="right"/>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北京电信技术发展产业协会</w:t>
      </w:r>
    </w:p>
    <w:p w:rsidR="001226FE" w:rsidRPr="0059143F" w:rsidRDefault="00B0080A">
      <w:pPr>
        <w:jc w:val="right"/>
        <w:rPr>
          <w:rFonts w:asciiTheme="minorEastAsia" w:hAnsiTheme="minorEastAsia" w:cs="楷体"/>
          <w:color w:val="000000"/>
          <w:sz w:val="28"/>
          <w:szCs w:val="28"/>
        </w:rPr>
      </w:pPr>
      <w:r w:rsidRPr="0059143F">
        <w:rPr>
          <w:rFonts w:asciiTheme="minorEastAsia" w:hAnsiTheme="minorEastAsia" w:cs="楷体" w:hint="eastAsia"/>
          <w:color w:val="000000"/>
          <w:sz w:val="28"/>
          <w:szCs w:val="28"/>
        </w:rPr>
        <w:t>20</w:t>
      </w:r>
      <w:r w:rsidR="006360D8" w:rsidRPr="0059143F">
        <w:rPr>
          <w:rFonts w:asciiTheme="minorEastAsia" w:hAnsiTheme="minorEastAsia" w:cs="楷体" w:hint="eastAsia"/>
          <w:color w:val="000000"/>
          <w:sz w:val="28"/>
          <w:szCs w:val="28"/>
        </w:rPr>
        <w:t>1</w:t>
      </w:r>
      <w:r w:rsidRPr="0059143F">
        <w:rPr>
          <w:rFonts w:asciiTheme="minorEastAsia" w:hAnsiTheme="minorEastAsia" w:cs="楷体" w:hint="eastAsia"/>
          <w:color w:val="000000"/>
          <w:sz w:val="28"/>
          <w:szCs w:val="28"/>
        </w:rPr>
        <w:t>5年12月12日</w:t>
      </w:r>
    </w:p>
    <w:p w:rsidR="0059143F" w:rsidRPr="0059143F" w:rsidRDefault="0059143F">
      <w:pPr>
        <w:jc w:val="right"/>
        <w:rPr>
          <w:rFonts w:asciiTheme="minorEastAsia" w:hAnsiTheme="minorEastAsia" w:cs="楷体"/>
          <w:color w:val="000000"/>
          <w:sz w:val="28"/>
          <w:szCs w:val="28"/>
        </w:rPr>
      </w:pPr>
      <w:bookmarkStart w:id="0" w:name="_GoBack"/>
      <w:bookmarkEnd w:id="0"/>
    </w:p>
    <w:sectPr w:rsidR="0059143F" w:rsidRPr="0059143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BC2" w:rsidRDefault="002D3BC2" w:rsidP="002D3BC2">
      <w:r>
        <w:separator/>
      </w:r>
    </w:p>
  </w:endnote>
  <w:endnote w:type="continuationSeparator" w:id="0">
    <w:p w:rsidR="002D3BC2" w:rsidRDefault="002D3BC2" w:rsidP="002D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C2" w:rsidRDefault="002D3B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C2" w:rsidRDefault="002D3BC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C2" w:rsidRDefault="002D3B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BC2" w:rsidRDefault="002D3BC2" w:rsidP="002D3BC2">
      <w:r>
        <w:separator/>
      </w:r>
    </w:p>
  </w:footnote>
  <w:footnote w:type="continuationSeparator" w:id="0">
    <w:p w:rsidR="002D3BC2" w:rsidRDefault="002D3BC2" w:rsidP="002D3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C2" w:rsidRDefault="002D3BC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92" w:rsidRDefault="000B4892" w:rsidP="000B4892">
    <w:pPr>
      <w:pStyle w:val="a9"/>
    </w:pPr>
    <w:r>
      <w:rPr>
        <w:rFonts w:ascii="宋体" w:hAnsi="宋体"/>
        <w:noProof/>
        <w:sz w:val="24"/>
        <w:szCs w:val="24"/>
      </w:rPr>
      <w:drawing>
        <wp:inline distT="0" distB="0" distL="0" distR="0">
          <wp:extent cx="2381250" cy="466725"/>
          <wp:effectExtent l="0" t="0" r="0" b="9525"/>
          <wp:docPr id="2" name="图片 2" descr="cid:0_1376473505949_0.9417481496576532@Eas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0_1376473505949_0.9417481496576532@East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p w:rsidR="002D3BC2" w:rsidRDefault="002D3BC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BC2" w:rsidRDefault="002D3BC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FE"/>
    <w:rsid w:val="000B4892"/>
    <w:rsid w:val="001226FE"/>
    <w:rsid w:val="002D3BC2"/>
    <w:rsid w:val="004E7B3F"/>
    <w:rsid w:val="0059143F"/>
    <w:rsid w:val="006360D8"/>
    <w:rsid w:val="00B0080A"/>
    <w:rsid w:val="15F7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Emphasis"/>
    <w:basedOn w:val="a0"/>
    <w:qFormat/>
  </w:style>
  <w:style w:type="character" w:styleId="a7">
    <w:name w:val="Hyperlink"/>
    <w:basedOn w:val="a0"/>
    <w:rPr>
      <w:color w:val="0000FF"/>
      <w:u w:val="none"/>
    </w:rPr>
  </w:style>
  <w:style w:type="character" w:styleId="HTML">
    <w:name w:val="HTML Cite"/>
    <w:basedOn w:val="a0"/>
  </w:style>
  <w:style w:type="paragraph" w:styleId="a8">
    <w:name w:val="Balloon Text"/>
    <w:basedOn w:val="a"/>
    <w:link w:val="Char"/>
    <w:rsid w:val="00B0080A"/>
    <w:rPr>
      <w:sz w:val="18"/>
      <w:szCs w:val="18"/>
    </w:rPr>
  </w:style>
  <w:style w:type="character" w:customStyle="1" w:styleId="Char">
    <w:name w:val="批注框文本 Char"/>
    <w:basedOn w:val="a0"/>
    <w:link w:val="a8"/>
    <w:rsid w:val="00B0080A"/>
    <w:rPr>
      <w:rFonts w:asciiTheme="minorHAnsi" w:eastAsiaTheme="minorEastAsia" w:hAnsiTheme="minorHAnsi" w:cstheme="minorBidi"/>
      <w:kern w:val="2"/>
      <w:sz w:val="18"/>
      <w:szCs w:val="18"/>
    </w:rPr>
  </w:style>
  <w:style w:type="paragraph" w:styleId="a9">
    <w:name w:val="header"/>
    <w:basedOn w:val="a"/>
    <w:link w:val="Char0"/>
    <w:rsid w:val="002D3B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2D3BC2"/>
    <w:rPr>
      <w:rFonts w:asciiTheme="minorHAnsi" w:eastAsiaTheme="minorEastAsia" w:hAnsiTheme="minorHAnsi" w:cstheme="minorBidi"/>
      <w:kern w:val="2"/>
      <w:sz w:val="18"/>
      <w:szCs w:val="18"/>
    </w:rPr>
  </w:style>
  <w:style w:type="paragraph" w:styleId="aa">
    <w:name w:val="footer"/>
    <w:basedOn w:val="a"/>
    <w:link w:val="Char1"/>
    <w:rsid w:val="002D3BC2"/>
    <w:pPr>
      <w:tabs>
        <w:tab w:val="center" w:pos="4153"/>
        <w:tab w:val="right" w:pos="8306"/>
      </w:tabs>
      <w:snapToGrid w:val="0"/>
      <w:jc w:val="left"/>
    </w:pPr>
    <w:rPr>
      <w:sz w:val="18"/>
      <w:szCs w:val="18"/>
    </w:rPr>
  </w:style>
  <w:style w:type="character" w:customStyle="1" w:styleId="Char1">
    <w:name w:val="页脚 Char"/>
    <w:basedOn w:val="a0"/>
    <w:link w:val="aa"/>
    <w:rsid w:val="002D3BC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Emphasis"/>
    <w:basedOn w:val="a0"/>
    <w:qFormat/>
  </w:style>
  <w:style w:type="character" w:styleId="a7">
    <w:name w:val="Hyperlink"/>
    <w:basedOn w:val="a0"/>
    <w:rPr>
      <w:color w:val="0000FF"/>
      <w:u w:val="none"/>
    </w:rPr>
  </w:style>
  <w:style w:type="character" w:styleId="HTML">
    <w:name w:val="HTML Cite"/>
    <w:basedOn w:val="a0"/>
  </w:style>
  <w:style w:type="paragraph" w:styleId="a8">
    <w:name w:val="Balloon Text"/>
    <w:basedOn w:val="a"/>
    <w:link w:val="Char"/>
    <w:rsid w:val="00B0080A"/>
    <w:rPr>
      <w:sz w:val="18"/>
      <w:szCs w:val="18"/>
    </w:rPr>
  </w:style>
  <w:style w:type="character" w:customStyle="1" w:styleId="Char">
    <w:name w:val="批注框文本 Char"/>
    <w:basedOn w:val="a0"/>
    <w:link w:val="a8"/>
    <w:rsid w:val="00B0080A"/>
    <w:rPr>
      <w:rFonts w:asciiTheme="minorHAnsi" w:eastAsiaTheme="minorEastAsia" w:hAnsiTheme="minorHAnsi" w:cstheme="minorBidi"/>
      <w:kern w:val="2"/>
      <w:sz w:val="18"/>
      <w:szCs w:val="18"/>
    </w:rPr>
  </w:style>
  <w:style w:type="paragraph" w:styleId="a9">
    <w:name w:val="header"/>
    <w:basedOn w:val="a"/>
    <w:link w:val="Char0"/>
    <w:rsid w:val="002D3BC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2D3BC2"/>
    <w:rPr>
      <w:rFonts w:asciiTheme="minorHAnsi" w:eastAsiaTheme="minorEastAsia" w:hAnsiTheme="minorHAnsi" w:cstheme="minorBidi"/>
      <w:kern w:val="2"/>
      <w:sz w:val="18"/>
      <w:szCs w:val="18"/>
    </w:rPr>
  </w:style>
  <w:style w:type="paragraph" w:styleId="aa">
    <w:name w:val="footer"/>
    <w:basedOn w:val="a"/>
    <w:link w:val="Char1"/>
    <w:rsid w:val="002D3BC2"/>
    <w:pPr>
      <w:tabs>
        <w:tab w:val="center" w:pos="4153"/>
        <w:tab w:val="right" w:pos="8306"/>
      </w:tabs>
      <w:snapToGrid w:val="0"/>
      <w:jc w:val="left"/>
    </w:pPr>
    <w:rPr>
      <w:sz w:val="18"/>
      <w:szCs w:val="18"/>
    </w:rPr>
  </w:style>
  <w:style w:type="character" w:customStyle="1" w:styleId="Char1">
    <w:name w:val="页脚 Char"/>
    <w:basedOn w:val="a0"/>
    <w:link w:val="aa"/>
    <w:rsid w:val="002D3B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5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CF7345.67A94D4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2552</Words>
  <Characters>161</Characters>
  <Application>Microsoft Office Word</Application>
  <DocSecurity>0</DocSecurity>
  <Lines>1</Lines>
  <Paragraphs>5</Paragraphs>
  <ScaleCrop>false</ScaleCrop>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dc:creator>
  <cp:lastModifiedBy>wangjie</cp:lastModifiedBy>
  <cp:revision>5</cp:revision>
  <cp:lastPrinted>2017-07-18T07:54:00Z</cp:lastPrinted>
  <dcterms:created xsi:type="dcterms:W3CDTF">2017-07-18T07:55:00Z</dcterms:created>
  <dcterms:modified xsi:type="dcterms:W3CDTF">2017-09-08T06:53:00Z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